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620C1A" w14:textId="77777777" w:rsidR="00B47614" w:rsidRDefault="00B47614" w:rsidP="00B4761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333"/>
        </w:tabs>
        <w:suppressAutoHyphens/>
        <w:jc w:val="right"/>
        <w:rPr>
          <w:rFonts w:ascii="Times New Roman" w:eastAsia="Arial Unicode MS" w:hAnsi="Times New Roman" w:cs="Arial Unicode MS"/>
          <w:b/>
          <w:bCs/>
          <w:color w:val="7F7F7F"/>
          <w:kern w:val="1"/>
          <w:sz w:val="22"/>
          <w:szCs w:val="22"/>
          <w:u w:color="7F7F7F"/>
          <w:bdr w:val="nil"/>
          <w:lang w:val="pt-PT" w:eastAsia="es-MX"/>
        </w:rPr>
      </w:pPr>
    </w:p>
    <w:p w14:paraId="7D0C5935" w14:textId="2B37C17B" w:rsidR="00B47614" w:rsidRPr="009C56E7" w:rsidRDefault="00B47614" w:rsidP="00B4761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333"/>
        </w:tabs>
        <w:suppressAutoHyphens/>
        <w:jc w:val="right"/>
        <w:rPr>
          <w:rFonts w:ascii="Times New Roman" w:eastAsia="Times New Roman" w:hAnsi="Times New Roman" w:cs="Times New Roman"/>
          <w:b/>
          <w:bCs/>
          <w:color w:val="7F7F7F"/>
          <w:kern w:val="1"/>
          <w:sz w:val="22"/>
          <w:szCs w:val="22"/>
          <w:u w:color="7F7F7F"/>
          <w:bdr w:val="nil"/>
          <w:lang w:val="es-ES_tradnl" w:eastAsia="es-MX"/>
        </w:rPr>
      </w:pPr>
      <w:r w:rsidRPr="009C56E7">
        <w:rPr>
          <w:rFonts w:ascii="Times New Roman" w:eastAsia="Arial Unicode MS" w:hAnsi="Times New Roman" w:cs="Arial Unicode MS"/>
          <w:b/>
          <w:bCs/>
          <w:color w:val="7F7F7F"/>
          <w:kern w:val="1"/>
          <w:sz w:val="22"/>
          <w:szCs w:val="22"/>
          <w:u w:color="7F7F7F"/>
          <w:bdr w:val="nil"/>
          <w:lang w:val="pt-PT" w:eastAsia="es-MX"/>
        </w:rPr>
        <w:t>Comunicado de Prensa n</w:t>
      </w:r>
      <w:r w:rsidRPr="009C56E7">
        <w:rPr>
          <w:rFonts w:ascii="Times New Roman" w:eastAsia="Arial Unicode MS" w:hAnsi="Times New Roman" w:cs="Arial Unicode MS"/>
          <w:b/>
          <w:bCs/>
          <w:color w:val="7F7F7F"/>
          <w:kern w:val="1"/>
          <w:sz w:val="22"/>
          <w:szCs w:val="22"/>
          <w:u w:color="7F7F7F"/>
          <w:bdr w:val="nil"/>
          <w:lang w:val="es-ES_tradnl" w:eastAsia="es-MX"/>
        </w:rPr>
        <w:t>ú</w:t>
      </w:r>
      <w:r w:rsidRPr="009C56E7">
        <w:rPr>
          <w:rFonts w:ascii="Times New Roman" w:eastAsia="Arial Unicode MS" w:hAnsi="Times New Roman" w:cs="Arial Unicode MS"/>
          <w:b/>
          <w:bCs/>
          <w:color w:val="7F7F7F"/>
          <w:kern w:val="1"/>
          <w:sz w:val="22"/>
          <w:szCs w:val="22"/>
          <w:u w:color="7F7F7F"/>
          <w:bdr w:val="nil"/>
          <w:lang w:val="it-IT" w:eastAsia="es-MX"/>
        </w:rPr>
        <w:t>mero 32</w:t>
      </w:r>
      <w:r>
        <w:rPr>
          <w:rFonts w:ascii="Times New Roman" w:eastAsia="Arial Unicode MS" w:hAnsi="Times New Roman" w:cs="Arial Unicode MS"/>
          <w:b/>
          <w:bCs/>
          <w:color w:val="7F7F7F"/>
          <w:kern w:val="1"/>
          <w:sz w:val="22"/>
          <w:szCs w:val="22"/>
          <w:u w:color="7F7F7F"/>
          <w:bdr w:val="nil"/>
          <w:lang w:val="it-IT" w:eastAsia="es-MX"/>
        </w:rPr>
        <w:t>7</w:t>
      </w:r>
    </w:p>
    <w:p w14:paraId="5DC74C86" w14:textId="078C66B1" w:rsidR="00B47614" w:rsidRPr="009C56E7" w:rsidRDefault="00B47614" w:rsidP="00B4761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333"/>
        </w:tabs>
        <w:suppressAutoHyphens/>
        <w:jc w:val="right"/>
        <w:rPr>
          <w:rFonts w:ascii="Times New Roman" w:eastAsia="Arial Unicode MS" w:hAnsi="Times New Roman" w:cs="Arial Unicode MS"/>
          <w:bCs/>
          <w:color w:val="7F7F7F"/>
          <w:kern w:val="1"/>
          <w:sz w:val="22"/>
          <w:szCs w:val="22"/>
          <w:u w:color="7F7F7F"/>
          <w:bdr w:val="nil"/>
          <w:lang w:val="es-ES_tradnl" w:eastAsia="es-MX"/>
        </w:rPr>
      </w:pPr>
      <w:r w:rsidRPr="009C56E7">
        <w:rPr>
          <w:rFonts w:ascii="Times New Roman" w:eastAsia="Arial Unicode MS" w:hAnsi="Times New Roman" w:cs="Arial Unicode MS"/>
          <w:bCs/>
          <w:color w:val="7F7F7F"/>
          <w:kern w:val="1"/>
          <w:sz w:val="22"/>
          <w:szCs w:val="22"/>
          <w:u w:color="7F7F7F"/>
          <w:bdr w:val="nil"/>
          <w:lang w:val="es-ES_tradnl" w:eastAsia="es-MX"/>
        </w:rPr>
        <w:t xml:space="preserve">Ciudad de México, a </w:t>
      </w:r>
      <w:r>
        <w:rPr>
          <w:rFonts w:ascii="Times New Roman" w:eastAsia="Arial Unicode MS" w:hAnsi="Times New Roman" w:cs="Arial Unicode MS"/>
          <w:bCs/>
          <w:color w:val="7F7F7F"/>
          <w:kern w:val="1"/>
          <w:sz w:val="22"/>
          <w:szCs w:val="22"/>
          <w:u w:color="7F7F7F"/>
          <w:bdr w:val="nil"/>
          <w:lang w:val="es-ES_tradnl" w:eastAsia="es-MX"/>
        </w:rPr>
        <w:t xml:space="preserve">sábado 15 </w:t>
      </w:r>
      <w:r w:rsidRPr="009C56E7">
        <w:rPr>
          <w:rFonts w:ascii="Times New Roman" w:eastAsia="Arial Unicode MS" w:hAnsi="Times New Roman" w:cs="Arial Unicode MS"/>
          <w:bCs/>
          <w:color w:val="7F7F7F"/>
          <w:kern w:val="1"/>
          <w:sz w:val="22"/>
          <w:szCs w:val="22"/>
          <w:u w:color="7F7F7F"/>
          <w:bdr w:val="nil"/>
          <w:lang w:val="es-ES_tradnl" w:eastAsia="es-MX"/>
        </w:rPr>
        <w:t>de octubre de 2016</w:t>
      </w:r>
    </w:p>
    <w:p w14:paraId="41CF9DB3" w14:textId="77777777" w:rsidR="00B47614" w:rsidRPr="009C56E7" w:rsidRDefault="0062568F" w:rsidP="00B4761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333"/>
        </w:tabs>
        <w:suppressAutoHyphens/>
        <w:jc w:val="right"/>
        <w:rPr>
          <w:rFonts w:ascii="Times New Roman" w:eastAsia="Times New Roman" w:hAnsi="Times New Roman" w:cs="Times New Roman"/>
          <w:color w:val="7F7F7F"/>
          <w:kern w:val="1"/>
          <w:sz w:val="22"/>
          <w:szCs w:val="22"/>
          <w:u w:color="7F7F7F"/>
          <w:bdr w:val="nil"/>
          <w:lang w:val="es-ES_tradnl" w:eastAsia="es-MX"/>
        </w:rPr>
      </w:pPr>
      <w:hyperlink r:id="rId8" w:history="1">
        <w:r w:rsidR="00B47614" w:rsidRPr="009C56E7">
          <w:rPr>
            <w:rFonts w:ascii="Times New Roman" w:eastAsia="Arial Unicode MS" w:hAnsi="Times New Roman" w:cs="Arial Unicode MS"/>
            <w:bCs/>
            <w:color w:val="000000"/>
            <w:kern w:val="1"/>
            <w:sz w:val="22"/>
            <w:szCs w:val="22"/>
            <w:u w:val="single" w:color="7F7F7F"/>
            <w:bdr w:val="nil"/>
            <w:lang w:val="es-ES_tradnl" w:eastAsia="es-MX"/>
          </w:rPr>
          <w:t>www.gob.mx/habitat3</w:t>
        </w:r>
      </w:hyperlink>
      <w:r w:rsidR="00B47614" w:rsidRPr="009C56E7">
        <w:rPr>
          <w:rFonts w:ascii="Times New Roman" w:eastAsia="Arial Unicode MS" w:hAnsi="Times New Roman" w:cs="Arial Unicode MS"/>
          <w:bCs/>
          <w:color w:val="7F7F7F"/>
          <w:kern w:val="1"/>
          <w:sz w:val="22"/>
          <w:szCs w:val="22"/>
          <w:u w:color="7F7F7F"/>
          <w:bdr w:val="nil"/>
          <w:lang w:val="es-ES_tradnl" w:eastAsia="es-MX"/>
        </w:rPr>
        <w:t xml:space="preserve"> </w:t>
      </w:r>
    </w:p>
    <w:p w14:paraId="54E1C0E1" w14:textId="77777777" w:rsidR="00B47614" w:rsidRPr="009C56E7" w:rsidRDefault="00B47614" w:rsidP="00B4761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333"/>
        </w:tabs>
        <w:suppressAutoHyphens/>
        <w:jc w:val="right"/>
        <w:rPr>
          <w:rFonts w:ascii="Times New Roman" w:eastAsia="Times New Roman" w:hAnsi="Times New Roman" w:cs="Times New Roman"/>
          <w:color w:val="7F7F7F"/>
          <w:kern w:val="1"/>
          <w:sz w:val="22"/>
          <w:szCs w:val="22"/>
          <w:u w:color="7F7F7F"/>
          <w:bdr w:val="nil"/>
          <w:lang w:val="es-ES_tradnl" w:eastAsia="es-MX"/>
        </w:rPr>
      </w:pPr>
      <w:r w:rsidRPr="009C56E7">
        <w:rPr>
          <w:rFonts w:ascii="Times New Roman" w:eastAsia="Arial Unicode MS" w:hAnsi="Times New Roman" w:cs="Arial Unicode MS"/>
          <w:color w:val="7F7F7F"/>
          <w:kern w:val="1"/>
          <w:sz w:val="22"/>
          <w:szCs w:val="22"/>
          <w:u w:color="7F7F7F"/>
          <w:bdr w:val="nil"/>
          <w:lang w:val="es-ES_tradnl" w:eastAsia="es-MX"/>
        </w:rPr>
        <w:t xml:space="preserve">@SEDATU_mx </w:t>
      </w:r>
    </w:p>
    <w:p w14:paraId="73B1644E" w14:textId="77777777" w:rsidR="00B47614" w:rsidRPr="009C56E7" w:rsidRDefault="00B47614" w:rsidP="00B4761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333"/>
        </w:tabs>
        <w:suppressAutoHyphens/>
        <w:jc w:val="both"/>
        <w:rPr>
          <w:rFonts w:ascii="Times New Roman" w:eastAsia="Times New Roman" w:hAnsi="Times New Roman" w:cs="Times New Roman"/>
          <w:color w:val="7F7F7F"/>
          <w:kern w:val="1"/>
          <w:sz w:val="22"/>
          <w:szCs w:val="22"/>
          <w:u w:color="7F7F7F"/>
          <w:bdr w:val="nil"/>
          <w:lang w:val="es-ES_tradnl" w:eastAsia="es-MX"/>
        </w:rPr>
      </w:pPr>
      <w:r w:rsidRPr="009C56E7">
        <w:rPr>
          <w:rFonts w:ascii="Times New Roman" w:eastAsia="Arial Unicode MS" w:hAnsi="Times New Roman" w:cs="Arial Unicode MS"/>
          <w:color w:val="7F7F7F"/>
          <w:kern w:val="1"/>
          <w:sz w:val="22"/>
          <w:szCs w:val="22"/>
          <w:u w:color="7F7F7F"/>
          <w:bdr w:val="nil"/>
          <w:lang w:val="es-ES_tradnl" w:eastAsia="es-MX"/>
        </w:rPr>
        <w:t xml:space="preserve"> </w:t>
      </w:r>
    </w:p>
    <w:p w14:paraId="17BAFD42" w14:textId="77777777" w:rsidR="00B47614" w:rsidRPr="00B47614" w:rsidRDefault="00B47614" w:rsidP="00B47614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jc w:val="center"/>
        <w:rPr>
          <w:rFonts w:ascii="Corbel" w:eastAsia="Corbel" w:hAnsi="Corbel" w:cs="Corbel"/>
          <w:b/>
          <w:bCs/>
          <w:color w:val="808080"/>
          <w:sz w:val="33"/>
          <w:szCs w:val="33"/>
          <w:u w:color="808080"/>
          <w:bdr w:val="nil"/>
          <w:lang w:val="es-ES_tradnl" w:eastAsia="es-MX"/>
        </w:rPr>
      </w:pPr>
      <w:r w:rsidRPr="00B47614">
        <w:rPr>
          <w:rFonts w:ascii="Corbel" w:eastAsia="Corbel" w:hAnsi="Corbel" w:cs="Corbel"/>
          <w:b/>
          <w:bCs/>
          <w:color w:val="808080"/>
          <w:sz w:val="33"/>
          <w:szCs w:val="33"/>
          <w:u w:color="808080"/>
          <w:bdr w:val="nil"/>
          <w:lang w:val="es-ES_tradnl" w:eastAsia="es-MX"/>
        </w:rPr>
        <w:t>Con la Ley de Asentamientos Humanos se articularán acciones transversales para el desarrollo urbano del país: SEDATU</w:t>
      </w:r>
    </w:p>
    <w:p w14:paraId="410894C6" w14:textId="77777777" w:rsidR="00B47614" w:rsidRPr="00B47614" w:rsidRDefault="00B47614" w:rsidP="00B47614">
      <w:pPr>
        <w:pBdr>
          <w:top w:val="nil"/>
          <w:left w:val="nil"/>
          <w:bottom w:val="nil"/>
          <w:right w:val="nil"/>
          <w:between w:val="nil"/>
          <w:bar w:val="nil"/>
        </w:pBdr>
        <w:ind w:left="720"/>
        <w:jc w:val="both"/>
        <w:rPr>
          <w:rFonts w:ascii="Corbel" w:eastAsia="Corbel" w:hAnsi="Corbel" w:cs="Corbel"/>
          <w:b/>
          <w:bCs/>
          <w:i/>
          <w:iCs/>
          <w:color w:val="050505"/>
          <w:u w:color="808080"/>
          <w:bdr w:val="nil"/>
          <w:lang w:val="es-ES_tradnl" w:eastAsia="es-MX"/>
        </w:rPr>
      </w:pPr>
    </w:p>
    <w:p w14:paraId="014051DD" w14:textId="77777777" w:rsidR="00B47614" w:rsidRPr="00B47614" w:rsidRDefault="00B47614" w:rsidP="00B4761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Corbel" w:eastAsia="Corbel" w:hAnsi="Corbel" w:cs="Corbel"/>
          <w:b/>
          <w:bCs/>
          <w:i/>
          <w:iCs/>
          <w:color w:val="050505"/>
          <w:u w:color="808080"/>
          <w:bdr w:val="nil"/>
          <w:lang w:val="es-ES_tradnl" w:eastAsia="es-MX"/>
        </w:rPr>
      </w:pPr>
      <w:r w:rsidRPr="00B47614">
        <w:rPr>
          <w:rFonts w:ascii="Corbel" w:eastAsia="Corbel" w:hAnsi="Corbel" w:cs="Corbel"/>
          <w:b/>
          <w:bCs/>
          <w:i/>
          <w:iCs/>
          <w:color w:val="050505"/>
          <w:u w:color="808080"/>
          <w:bdr w:val="nil"/>
          <w:lang w:val="es-ES_tradnl" w:eastAsia="es-MX"/>
        </w:rPr>
        <w:t>El Derecho a la Ciudad, la Igualdad de Género y la Accesibilidad Universal son los tres principales ejes de esta ley, dijo el Titular de la Coordinación Metropolitana de la SEDATU</w:t>
      </w:r>
    </w:p>
    <w:p w14:paraId="1B914E46" w14:textId="77777777" w:rsidR="00B47614" w:rsidRPr="00B47614" w:rsidRDefault="00B47614" w:rsidP="00B47614">
      <w:pPr>
        <w:pBdr>
          <w:top w:val="nil"/>
          <w:left w:val="nil"/>
          <w:bottom w:val="nil"/>
          <w:right w:val="nil"/>
          <w:between w:val="nil"/>
          <w:bar w:val="nil"/>
        </w:pBdr>
        <w:ind w:left="720"/>
        <w:jc w:val="both"/>
        <w:rPr>
          <w:rFonts w:ascii="Corbel" w:eastAsia="Corbel" w:hAnsi="Corbel" w:cs="Corbel"/>
          <w:b/>
          <w:bCs/>
          <w:i/>
          <w:iCs/>
          <w:color w:val="050505"/>
          <w:u w:color="808080"/>
          <w:bdr w:val="nil"/>
          <w:lang w:val="es-ES_tradnl" w:eastAsia="es-MX"/>
        </w:rPr>
      </w:pPr>
    </w:p>
    <w:p w14:paraId="307495BE" w14:textId="127C9972" w:rsidR="00B47614" w:rsidRPr="00B47614" w:rsidRDefault="00B47614" w:rsidP="00B4761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Corbel" w:eastAsia="Corbel" w:hAnsi="Corbel" w:cs="Corbel"/>
          <w:b/>
          <w:bCs/>
          <w:i/>
          <w:iCs/>
          <w:color w:val="050505"/>
          <w:u w:color="808080"/>
          <w:bdr w:val="nil"/>
          <w:lang w:val="es-ES_tradnl" w:eastAsia="es-MX"/>
        </w:rPr>
      </w:pPr>
      <w:r w:rsidRPr="00B47614">
        <w:rPr>
          <w:rFonts w:ascii="Corbel" w:eastAsia="Corbel" w:hAnsi="Corbel" w:cs="Corbel"/>
          <w:b/>
          <w:bCs/>
          <w:i/>
          <w:iCs/>
          <w:color w:val="050505"/>
          <w:u w:color="808080"/>
          <w:bdr w:val="nil"/>
          <w:lang w:val="es-ES_tradnl" w:eastAsia="es-MX"/>
        </w:rPr>
        <w:t>La inclusión activa de la ciudadan</w:t>
      </w:r>
      <w:r w:rsidR="00112039">
        <w:rPr>
          <w:rFonts w:ascii="Corbel" w:eastAsia="Corbel" w:hAnsi="Corbel" w:cs="Corbel"/>
          <w:b/>
          <w:bCs/>
          <w:i/>
          <w:iCs/>
          <w:color w:val="050505"/>
          <w:u w:color="808080"/>
          <w:bdr w:val="nil"/>
          <w:lang w:val="es-ES_tradnl" w:eastAsia="es-MX"/>
        </w:rPr>
        <w:t>í</w:t>
      </w:r>
      <w:r w:rsidRPr="00B47614">
        <w:rPr>
          <w:rFonts w:ascii="Corbel" w:eastAsia="Corbel" w:hAnsi="Corbel" w:cs="Corbel"/>
          <w:b/>
          <w:bCs/>
          <w:i/>
          <w:iCs/>
          <w:color w:val="050505"/>
          <w:u w:color="808080"/>
          <w:bdr w:val="nil"/>
          <w:lang w:val="es-ES_tradnl" w:eastAsia="es-MX"/>
        </w:rPr>
        <w:t>a servirá para la conformación de proyectos, así como para la vigilancia y seguimiento de cada una de las acciones</w:t>
      </w:r>
    </w:p>
    <w:p w14:paraId="03A175DA" w14:textId="77777777" w:rsidR="00B47614" w:rsidRPr="00B47614" w:rsidRDefault="00B47614" w:rsidP="00B47614">
      <w:pPr>
        <w:pBdr>
          <w:top w:val="nil"/>
          <w:left w:val="nil"/>
          <w:bottom w:val="nil"/>
          <w:right w:val="nil"/>
          <w:between w:val="nil"/>
          <w:bar w:val="nil"/>
        </w:pBdr>
        <w:ind w:left="720"/>
        <w:rPr>
          <w:rFonts w:ascii="Corbel" w:eastAsia="Corbel" w:hAnsi="Corbel" w:cs="Corbel"/>
          <w:b/>
          <w:bCs/>
          <w:i/>
          <w:iCs/>
          <w:color w:val="050505"/>
          <w:u w:color="808080"/>
          <w:bdr w:val="nil"/>
          <w:lang w:val="es-ES_tradnl" w:eastAsia="es-MX"/>
        </w:rPr>
      </w:pPr>
    </w:p>
    <w:p w14:paraId="6432E387" w14:textId="77777777" w:rsidR="00B47614" w:rsidRPr="00B47614" w:rsidRDefault="00B47614" w:rsidP="00B4761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Corbel" w:eastAsia="Corbel" w:hAnsi="Corbel" w:cs="Corbel"/>
          <w:b/>
          <w:bCs/>
          <w:i/>
          <w:iCs/>
          <w:color w:val="050505"/>
          <w:u w:color="808080"/>
          <w:bdr w:val="nil"/>
          <w:lang w:val="es-ES_tradnl" w:eastAsia="es-MX"/>
        </w:rPr>
      </w:pPr>
      <w:r w:rsidRPr="00B47614">
        <w:rPr>
          <w:rFonts w:ascii="Corbel" w:eastAsia="Corbel" w:hAnsi="Corbel" w:cs="Corbel"/>
          <w:b/>
          <w:bCs/>
          <w:i/>
          <w:iCs/>
          <w:color w:val="050505"/>
          <w:u w:color="808080"/>
          <w:bdr w:val="nil"/>
          <w:lang w:val="es-ES_tradnl" w:eastAsia="es-MX"/>
        </w:rPr>
        <w:t>La nueva Ley responde a la Nueva Agenda Urbana que se discute en la Cumbre de Hábitat III, que se realizará en Quito, Ecuador</w:t>
      </w:r>
    </w:p>
    <w:p w14:paraId="0F4FA480" w14:textId="77777777" w:rsidR="00B47614" w:rsidRPr="00B47614" w:rsidRDefault="00B47614" w:rsidP="00B47614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240" w:line="276" w:lineRule="auto"/>
        <w:jc w:val="both"/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</w:pPr>
    </w:p>
    <w:p w14:paraId="7D667440" w14:textId="767422A1" w:rsidR="00B47614" w:rsidRPr="00B47614" w:rsidRDefault="00E333DA" w:rsidP="00B47614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240" w:line="276" w:lineRule="auto"/>
        <w:jc w:val="both"/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</w:pPr>
      <w:r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  <w:t>L</w:t>
      </w:r>
      <w:bookmarkStart w:id="0" w:name="_GoBack"/>
      <w:bookmarkEnd w:id="0"/>
      <w:r w:rsidR="00B47614" w:rsidRPr="00B47614"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  <w:t xml:space="preserve">a Ley General de Asentamientos Humanos, Ordenamiento Territorial y Desarrollo Urbano aprobada por el Congreso de la Unión se incorpora </w:t>
      </w:r>
      <w:r w:rsidR="00B47614"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  <w:t>-</w:t>
      </w:r>
      <w:r w:rsidR="00B47614" w:rsidRPr="00B47614"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  <w:t>por primera vez en la legislación nacional</w:t>
      </w:r>
      <w:r w:rsidR="00B47614"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  <w:t>-</w:t>
      </w:r>
      <w:r w:rsidR="00B47614" w:rsidRPr="00B47614"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  <w:t xml:space="preserve"> el principio de </w:t>
      </w:r>
      <w:r w:rsidR="00B47614" w:rsidRPr="00B47614">
        <w:rPr>
          <w:rFonts w:ascii="Corbel" w:eastAsia="Corbel" w:hAnsi="Corbel" w:cs="Corbel"/>
          <w:b/>
          <w:color w:val="050505"/>
          <w:sz w:val="28"/>
          <w:szCs w:val="28"/>
          <w:u w:color="808080"/>
          <w:bdr w:val="nil"/>
          <w:lang w:val="es-ES_tradnl" w:eastAsia="es-MX"/>
        </w:rPr>
        <w:t>Derecho a la Ciudad</w:t>
      </w:r>
      <w:r w:rsidR="00B47614" w:rsidRPr="00B47614"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  <w:t>, con l</w:t>
      </w:r>
      <w:r w:rsidR="00B47614"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  <w:t>o</w:t>
      </w:r>
      <w:r w:rsidR="00B47614" w:rsidRPr="00B47614"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  <w:t xml:space="preserve"> que “se garantiza el ejercicio pleno de los derechos humanos y los derechos en condiciones de igualdad; promueve la cohesión social, impide la discriminación, la segregación o marginación de grupos o individuos”, así lo señaló el </w:t>
      </w:r>
      <w:r w:rsidR="00B47614"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  <w:t xml:space="preserve">titular de </w:t>
      </w:r>
      <w:r w:rsidR="00B47614" w:rsidRPr="00B47614"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  <w:t xml:space="preserve">Coordinación Metropolitana de la Secretaría de Desarrollo Agrario Territorial y Urbano (SEDATU), Francisco Covarrubias Gaytán. </w:t>
      </w:r>
    </w:p>
    <w:p w14:paraId="5E86AC77" w14:textId="20616B16" w:rsidR="00B47614" w:rsidRPr="00B47614" w:rsidRDefault="00B47614" w:rsidP="00B47614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240" w:line="276" w:lineRule="auto"/>
        <w:jc w:val="both"/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</w:pPr>
      <w:r w:rsidRPr="00B47614"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  <w:t>Experto en desarrollo urbano y participante en los tres Foros de Hábitat que se han realizado en el mundo, el arquitecto Covarrubias explicó que esta Ley corresponde a  una visión de vanguardia en la que se incluye la perspectiva de género y la inclusión, para construir ciudades con mayor igualdad entre mujeres y hombres y con un diseño universal que facilite la movilidad sustentable de toda la población.</w:t>
      </w:r>
    </w:p>
    <w:p w14:paraId="3C85465B" w14:textId="77777777" w:rsidR="00B47614" w:rsidRPr="00B47614" w:rsidRDefault="00B47614" w:rsidP="00B47614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240" w:line="276" w:lineRule="auto"/>
        <w:jc w:val="both"/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</w:pPr>
      <w:r w:rsidRPr="00B47614"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  <w:lastRenderedPageBreak/>
        <w:t>“Se podrán articular acciones transversales en aspectos territoriales, urbanos y rurales que encaminan a México a una real modernidad en el tema”, afirmó luego de que el Senado de la República, aprobó el pasado jueves 13 de octubre la minuta enviada por la Cámara de Diputados.</w:t>
      </w:r>
    </w:p>
    <w:p w14:paraId="5FE8D29F" w14:textId="77777777" w:rsidR="00B47614" w:rsidRPr="00B47614" w:rsidRDefault="00B47614" w:rsidP="00B47614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240" w:line="276" w:lineRule="auto"/>
        <w:jc w:val="both"/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</w:pPr>
      <w:r w:rsidRPr="00B47614"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  <w:t>La Ley, agregó, responde a los temas de la Nueva Agenda Urbana que se discutirán en los próximos días en el Foro de Hábitat III y establece las bases para la conformación de ciudades compactas, seguras, incluyentes, sustentables y resilientes.</w:t>
      </w:r>
    </w:p>
    <w:p w14:paraId="01E4F522" w14:textId="77777777" w:rsidR="00B47614" w:rsidRPr="00B47614" w:rsidRDefault="00B47614" w:rsidP="00B47614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240" w:line="276" w:lineRule="auto"/>
        <w:jc w:val="both"/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</w:pPr>
      <w:r w:rsidRPr="00B47614"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  <w:t>“Yo creo que la Cumbre de Hábitat III, que se realizará en Quito, Ecuador, permitirá tomar la visión de que en el caso de México estamos trabajando muy cercanos a los principios establecidos por las Naciones Unidas con relación a la determinación de una nueva Agenda Urbana, pero además hay que destacar la voluntad política para modernizar la instrumentación jurídica y dar mayor certidumbre a los habitantes; ubicar la resiliencia para prever cualquier eventualidad, y además establecer líneas muy importantes para el desarrollo urbano del país”, dijo.</w:t>
      </w:r>
    </w:p>
    <w:p w14:paraId="479CC4E3" w14:textId="77777777" w:rsidR="00B47614" w:rsidRPr="00B47614" w:rsidRDefault="00B47614" w:rsidP="00B47614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240" w:line="276" w:lineRule="auto"/>
        <w:jc w:val="both"/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</w:pPr>
      <w:r w:rsidRPr="00B47614"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  <w:t xml:space="preserve">El Arquitecto destacó otros elementos que establece la Ley como la gobernanza metropolitana, y la participación activa de la ciudadanía, la cual servirá para la conformación de proyectos que generen mejores entornos urbanos y sociales en todo el país, así como para la vigilancia y el seguimiento de cada una de las acciones que se emprendan. </w:t>
      </w:r>
    </w:p>
    <w:p w14:paraId="643A0065" w14:textId="77777777" w:rsidR="00B47614" w:rsidRPr="00B47614" w:rsidRDefault="00B47614" w:rsidP="00B47614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240" w:line="276" w:lineRule="auto"/>
        <w:jc w:val="both"/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</w:pPr>
      <w:r w:rsidRPr="00B47614"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  <w:t xml:space="preserve">“Se busca, desde luego, la participación tanto en la formulación, el seguimiento y la evaluación de todos los elementos que constituyen los planes, de tal manera que habrá instrumentos de evaluación que darán seguimiento a las acciones de materia urbana y materia territorial”, señaló. </w:t>
      </w:r>
    </w:p>
    <w:p w14:paraId="202E21EC" w14:textId="77777777" w:rsidR="00B47614" w:rsidRPr="00B47614" w:rsidRDefault="00B47614" w:rsidP="00B47614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240" w:line="276" w:lineRule="auto"/>
        <w:jc w:val="center"/>
        <w:rPr>
          <w:rFonts w:ascii="Corbel" w:eastAsia="Corbel" w:hAnsi="Corbel" w:cs="Corbel"/>
          <w:b/>
          <w:bCs/>
          <w:color w:val="050505"/>
          <w:sz w:val="28"/>
          <w:szCs w:val="28"/>
          <w:u w:color="808080"/>
          <w:bdr w:val="nil"/>
          <w:lang w:val="es-ES_tradnl" w:eastAsia="es-MX"/>
        </w:rPr>
      </w:pPr>
      <w:proofErr w:type="gramStart"/>
      <w:r w:rsidRPr="00B47614">
        <w:rPr>
          <w:rFonts w:ascii="Corbel" w:eastAsia="Corbel" w:hAnsi="Corbel" w:cs="Corbel"/>
          <w:b/>
          <w:bCs/>
          <w:color w:val="050505"/>
          <w:sz w:val="28"/>
          <w:szCs w:val="28"/>
          <w:u w:color="808080"/>
          <w:bdr w:val="nil"/>
          <w:lang w:val="es-ES_tradnl" w:eastAsia="es-MX"/>
        </w:rPr>
        <w:t>oooOOooo</w:t>
      </w:r>
      <w:proofErr w:type="gramEnd"/>
    </w:p>
    <w:p w14:paraId="448F0416" w14:textId="77777777" w:rsidR="000455FD" w:rsidRDefault="000455FD"/>
    <w:sectPr w:rsidR="000455FD" w:rsidSect="0069100E">
      <w:headerReference w:type="default" r:id="rId9"/>
      <w:footerReference w:type="default" r:id="rId10"/>
      <w:pgSz w:w="12240" w:h="15840"/>
      <w:pgMar w:top="1418" w:right="1701" w:bottom="1418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1E51B8" w14:textId="77777777" w:rsidR="0062568F" w:rsidRDefault="0062568F" w:rsidP="00D02237">
      <w:r>
        <w:separator/>
      </w:r>
    </w:p>
  </w:endnote>
  <w:endnote w:type="continuationSeparator" w:id="0">
    <w:p w14:paraId="1E69A76C" w14:textId="77777777" w:rsidR="0062568F" w:rsidRDefault="0062568F" w:rsidP="00D02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BA8" w14:textId="77777777" w:rsidR="00B47614" w:rsidRPr="00B47614" w:rsidRDefault="00B47614" w:rsidP="00B47614">
    <w:pPr>
      <w:pBdr>
        <w:top w:val="nil"/>
        <w:left w:val="nil"/>
        <w:bottom w:val="nil"/>
        <w:right w:val="nil"/>
        <w:between w:val="nil"/>
        <w:bar w:val="nil"/>
      </w:pBdr>
      <w:shd w:val="clear" w:color="auto" w:fill="FAFAFA"/>
      <w:jc w:val="center"/>
      <w:outlineLvl w:val="0"/>
      <w:rPr>
        <w:rFonts w:ascii="Times" w:eastAsia="Arial Unicode MS" w:hAnsi="Times" w:cs="Arial Unicode MS"/>
        <w:color w:val="808080"/>
        <w:sz w:val="18"/>
        <w:szCs w:val="18"/>
        <w:u w:color="808080"/>
        <w:bdr w:val="nil"/>
        <w:lang w:val="es-ES_tradnl" w:eastAsia="es-MX"/>
      </w:rPr>
    </w:pPr>
    <w:r w:rsidRPr="00B47614">
      <w:rPr>
        <w:rFonts w:ascii="Times" w:eastAsia="Arial Unicode MS" w:hAnsi="Times" w:cs="Arial Unicode MS"/>
        <w:color w:val="808080"/>
        <w:sz w:val="18"/>
        <w:szCs w:val="18"/>
        <w:u w:color="808080"/>
        <w:bdr w:val="nil"/>
        <w:lang w:val="es-ES_tradnl" w:eastAsia="es-MX"/>
      </w:rPr>
      <w:t xml:space="preserve">DIRECCIÓN GENERAL DE COMUNICACIÓN SOCIAL  </w:t>
    </w:r>
  </w:p>
  <w:p w14:paraId="7755F6B1" w14:textId="77777777" w:rsidR="00B47614" w:rsidRPr="00B47614" w:rsidRDefault="00B47614" w:rsidP="00B47614">
    <w:pPr>
      <w:pBdr>
        <w:top w:val="nil"/>
        <w:left w:val="nil"/>
        <w:bottom w:val="nil"/>
        <w:right w:val="nil"/>
        <w:between w:val="nil"/>
        <w:bar w:val="nil"/>
      </w:pBdr>
      <w:shd w:val="clear" w:color="auto" w:fill="FAFAFA"/>
      <w:jc w:val="center"/>
      <w:outlineLvl w:val="0"/>
      <w:rPr>
        <w:rFonts w:ascii="Times" w:eastAsia="Arial Unicode MS" w:hAnsi="Times" w:cs="Arial Unicode MS"/>
        <w:color w:val="808080"/>
        <w:sz w:val="18"/>
        <w:szCs w:val="18"/>
        <w:u w:color="808080"/>
        <w:bdr w:val="nil"/>
        <w:lang w:val="es-ES_tradnl" w:eastAsia="es-MX"/>
      </w:rPr>
    </w:pPr>
    <w:r w:rsidRPr="00B47614">
      <w:rPr>
        <w:rFonts w:ascii="Times" w:eastAsia="Arial Unicode MS" w:hAnsi="Times" w:cs="Arial Unicode MS"/>
        <w:color w:val="808080"/>
        <w:sz w:val="18"/>
        <w:szCs w:val="18"/>
        <w:u w:color="808080"/>
        <w:bdr w:val="nil"/>
        <w:lang w:val="es-ES_tradnl" w:eastAsia="es-MX"/>
      </w:rPr>
      <w:t xml:space="preserve">Paseo de la Reforma 99, piso 18, colonia Tabacalera </w:t>
    </w:r>
  </w:p>
  <w:p w14:paraId="37E5DC43" w14:textId="77777777" w:rsidR="00B47614" w:rsidRPr="00B47614" w:rsidRDefault="00B47614" w:rsidP="00B47614">
    <w:pPr>
      <w:pBdr>
        <w:top w:val="nil"/>
        <w:left w:val="nil"/>
        <w:bottom w:val="nil"/>
        <w:right w:val="nil"/>
        <w:between w:val="nil"/>
        <w:bar w:val="nil"/>
      </w:pBdr>
      <w:shd w:val="clear" w:color="auto" w:fill="FAFAFA"/>
      <w:jc w:val="center"/>
      <w:outlineLvl w:val="0"/>
      <w:rPr>
        <w:rFonts w:ascii="Times" w:eastAsia="Arial Unicode MS" w:hAnsi="Times" w:cs="Arial Unicode MS"/>
        <w:color w:val="808080"/>
        <w:sz w:val="18"/>
        <w:szCs w:val="18"/>
        <w:u w:color="808080"/>
        <w:bdr w:val="nil"/>
        <w:lang w:val="es-ES_tradnl" w:eastAsia="es-MX"/>
      </w:rPr>
    </w:pPr>
    <w:r w:rsidRPr="00B47614">
      <w:rPr>
        <w:rFonts w:ascii="Times" w:eastAsia="Arial Unicode MS" w:hAnsi="Times" w:cs="Arial Unicode MS"/>
        <w:color w:val="808080"/>
        <w:sz w:val="18"/>
        <w:szCs w:val="18"/>
        <w:u w:color="808080"/>
        <w:bdr w:val="nil"/>
        <w:lang w:val="es-ES_tradnl" w:eastAsia="es-MX"/>
      </w:rPr>
      <w:t xml:space="preserve">Ciudad de México, C.P. 06030 | Teléfono (55) 6820 9700 ext. 11013   </w:t>
    </w:r>
  </w:p>
  <w:p w14:paraId="14F5875A" w14:textId="1208930F" w:rsidR="00B47614" w:rsidRPr="00B47614" w:rsidRDefault="00B47614" w:rsidP="00B47614">
    <w:pPr>
      <w:pBdr>
        <w:top w:val="nil"/>
        <w:left w:val="nil"/>
        <w:bottom w:val="nil"/>
        <w:right w:val="nil"/>
        <w:between w:val="nil"/>
        <w:bar w:val="nil"/>
      </w:pBdr>
      <w:shd w:val="clear" w:color="auto" w:fill="FAFAFA"/>
      <w:jc w:val="center"/>
      <w:outlineLvl w:val="0"/>
      <w:rPr>
        <w:rFonts w:ascii="Times" w:eastAsia="Arial Unicode MS" w:hAnsi="Times" w:cs="Arial Unicode MS"/>
        <w:color w:val="000000"/>
        <w:sz w:val="20"/>
        <w:szCs w:val="20"/>
        <w:u w:color="000000"/>
        <w:bdr w:val="nil"/>
        <w:lang w:val="es-ES_tradnl" w:eastAsia="es-MX"/>
      </w:rPr>
    </w:pPr>
    <w:r w:rsidRPr="00B47614">
      <w:rPr>
        <w:rFonts w:ascii="Times" w:eastAsia="Arial Unicode MS" w:hAnsi="Times" w:cs="Arial Unicode MS"/>
        <w:color w:val="808080"/>
        <w:sz w:val="18"/>
        <w:szCs w:val="18"/>
        <w:u w:color="808080"/>
        <w:bdr w:val="nil"/>
        <w:lang w:val="es-ES_tradnl" w:eastAsia="es-MX"/>
      </w:rPr>
      <w:t>www.gob.mx/sedatu | prensa@sedatu.gob.mx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190E41" w14:textId="77777777" w:rsidR="0062568F" w:rsidRDefault="0062568F" w:rsidP="00D02237">
      <w:r>
        <w:separator/>
      </w:r>
    </w:p>
  </w:footnote>
  <w:footnote w:type="continuationSeparator" w:id="0">
    <w:p w14:paraId="4795F513" w14:textId="77777777" w:rsidR="0062568F" w:rsidRDefault="0062568F" w:rsidP="00D022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A84B23" w14:textId="77777777" w:rsidR="00D02237" w:rsidRDefault="0069100E" w:rsidP="009F2E58">
    <w:pPr>
      <w:pStyle w:val="Encabezado"/>
      <w:ind w:left="851"/>
    </w:pPr>
    <w:r>
      <w:rPr>
        <w:noProof/>
        <w:lang w:eastAsia="es-MX"/>
      </w:rPr>
      <w:drawing>
        <wp:inline distT="0" distB="0" distL="0" distR="0" wp14:anchorId="0723CB46" wp14:editId="0339F66E">
          <wp:extent cx="4456328" cy="1055937"/>
          <wp:effectExtent l="0" t="0" r="0" b="11430"/>
          <wp:docPr id="3" name="Imagen 3" descr="Macintosh HD:Users:sedatu:Desktop:Captura de pantalla 2016-10-14 a las 19.55.3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sedatu:Desktop:Captura de pantalla 2016-10-14 a las 19.55.36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7630" cy="1056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72EA4"/>
    <w:multiLevelType w:val="hybridMultilevel"/>
    <w:tmpl w:val="ED8E07AC"/>
    <w:numStyleLink w:val="Estiloimportado1"/>
  </w:abstractNum>
  <w:abstractNum w:abstractNumId="1">
    <w:nsid w:val="2EF763B9"/>
    <w:multiLevelType w:val="hybridMultilevel"/>
    <w:tmpl w:val="ED8E07AC"/>
    <w:styleLink w:val="Estiloimportado1"/>
    <w:lvl w:ilvl="0" w:tplc="91BC8594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8DCBF0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9DCFDB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14A5BDC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61AFBD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4BA41D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5266AB0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1AACA9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A848EF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6FE045B4"/>
    <w:multiLevelType w:val="hybridMultilevel"/>
    <w:tmpl w:val="A3D829F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BC4234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07E0FA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240AB4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994E8B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AE4F97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0E23456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3A67AB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7A2B46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237"/>
    <w:rsid w:val="000455FD"/>
    <w:rsid w:val="000B1685"/>
    <w:rsid w:val="00112039"/>
    <w:rsid w:val="003A1DF1"/>
    <w:rsid w:val="0062568F"/>
    <w:rsid w:val="0069100E"/>
    <w:rsid w:val="006B5A54"/>
    <w:rsid w:val="009D0A25"/>
    <w:rsid w:val="009F2E58"/>
    <w:rsid w:val="00B47614"/>
    <w:rsid w:val="00D02237"/>
    <w:rsid w:val="00E22B4D"/>
    <w:rsid w:val="00E33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762E8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MX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0223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02237"/>
  </w:style>
  <w:style w:type="paragraph" w:styleId="Piedepgina">
    <w:name w:val="footer"/>
    <w:basedOn w:val="Normal"/>
    <w:link w:val="PiedepginaCar"/>
    <w:uiPriority w:val="99"/>
    <w:unhideWhenUsed/>
    <w:rsid w:val="00D0223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02237"/>
  </w:style>
  <w:style w:type="paragraph" w:styleId="Textodeglobo">
    <w:name w:val="Balloon Text"/>
    <w:basedOn w:val="Normal"/>
    <w:link w:val="TextodegloboCar"/>
    <w:uiPriority w:val="99"/>
    <w:semiHidden/>
    <w:unhideWhenUsed/>
    <w:rsid w:val="00D02237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02237"/>
    <w:rPr>
      <w:rFonts w:ascii="Lucida Grande" w:hAnsi="Lucida Grande"/>
      <w:sz w:val="18"/>
      <w:szCs w:val="18"/>
    </w:rPr>
  </w:style>
  <w:style w:type="numbering" w:customStyle="1" w:styleId="Estiloimportado1">
    <w:name w:val="Estilo importado 1"/>
    <w:rsid w:val="00B47614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MX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0223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02237"/>
  </w:style>
  <w:style w:type="paragraph" w:styleId="Piedepgina">
    <w:name w:val="footer"/>
    <w:basedOn w:val="Normal"/>
    <w:link w:val="PiedepginaCar"/>
    <w:uiPriority w:val="99"/>
    <w:unhideWhenUsed/>
    <w:rsid w:val="00D0223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02237"/>
  </w:style>
  <w:style w:type="paragraph" w:styleId="Textodeglobo">
    <w:name w:val="Balloon Text"/>
    <w:basedOn w:val="Normal"/>
    <w:link w:val="TextodegloboCar"/>
    <w:uiPriority w:val="99"/>
    <w:semiHidden/>
    <w:unhideWhenUsed/>
    <w:rsid w:val="00D02237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02237"/>
    <w:rPr>
      <w:rFonts w:ascii="Lucida Grande" w:hAnsi="Lucida Grande"/>
      <w:sz w:val="18"/>
      <w:szCs w:val="18"/>
    </w:rPr>
  </w:style>
  <w:style w:type="numbering" w:customStyle="1" w:styleId="Estiloimportado1">
    <w:name w:val="Estilo importado 1"/>
    <w:rsid w:val="00B47614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b.mx/habitat3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532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sedatu</dc:creator>
  <cp:lastModifiedBy>Marco Antonio Aguilar Gutiérrez</cp:lastModifiedBy>
  <cp:revision>3</cp:revision>
  <cp:lastPrinted>2016-10-15T16:21:00Z</cp:lastPrinted>
  <dcterms:created xsi:type="dcterms:W3CDTF">2016-10-15T16:21:00Z</dcterms:created>
  <dcterms:modified xsi:type="dcterms:W3CDTF">2016-10-15T17:02:00Z</dcterms:modified>
</cp:coreProperties>
</file>